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4E3" w:rsidRPr="007F1AE6" w:rsidRDefault="005874E3" w:rsidP="005874E3">
      <w:pPr>
        <w:pStyle w:val="Default"/>
        <w:rPr>
          <w:b/>
        </w:rPr>
      </w:pPr>
      <w:r w:rsidRPr="007F1AE6">
        <w:rPr>
          <w:b/>
          <w:bCs/>
          <w:sz w:val="28"/>
          <w:szCs w:val="28"/>
        </w:rPr>
        <w:t xml:space="preserve">                                                             </w:t>
      </w:r>
      <w:r w:rsidRPr="007F1AE6">
        <w:rPr>
          <w:b/>
          <w:noProof/>
          <w:lang w:eastAsia="ru-RU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E6" w:rsidRPr="007F1AE6" w:rsidRDefault="007F1AE6" w:rsidP="007F1AE6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ЧАСТООСТРОВСКИЙ СЕЛЬСКИЙ СОВЕТ ДЕПУТАТОВ</w:t>
      </w:r>
    </w:p>
    <w:p w:rsidR="005874E3" w:rsidRPr="007F1AE6" w:rsidRDefault="005874E3" w:rsidP="0023439B">
      <w:pPr>
        <w:contextualSpacing/>
        <w:jc w:val="center"/>
        <w:rPr>
          <w:rFonts w:ascii="Times New Roman" w:hAnsi="Times New Roman"/>
          <w:b/>
          <w:spacing w:val="20"/>
          <w:szCs w:val="28"/>
        </w:rPr>
      </w:pPr>
      <w:r w:rsidRPr="007F1AE6">
        <w:rPr>
          <w:rFonts w:ascii="Times New Roman" w:hAnsi="Times New Roman"/>
          <w:b/>
          <w:spacing w:val="20"/>
          <w:szCs w:val="28"/>
        </w:rPr>
        <w:t>ЕМЕЛЬЯНОВСКИЙ РАЙОН</w:t>
      </w:r>
      <w:r w:rsidR="0023439B" w:rsidRPr="007F1AE6">
        <w:rPr>
          <w:rFonts w:ascii="Times New Roman" w:hAnsi="Times New Roman"/>
          <w:b/>
          <w:spacing w:val="20"/>
          <w:szCs w:val="28"/>
        </w:rPr>
        <w:t xml:space="preserve"> </w:t>
      </w:r>
      <w:r w:rsidRPr="007F1AE6">
        <w:rPr>
          <w:rFonts w:ascii="Times New Roman" w:hAnsi="Times New Roman"/>
          <w:b/>
          <w:spacing w:val="20"/>
          <w:szCs w:val="28"/>
        </w:rPr>
        <w:t>КРАСНОЯРСКИЙ  КРАЙ</w:t>
      </w:r>
    </w:p>
    <w:p w:rsidR="0023439B" w:rsidRDefault="0023439B" w:rsidP="005874E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F1AE6" w:rsidRPr="007F1AE6" w:rsidRDefault="007F1AE6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5874E3" w:rsidRPr="007F1AE6" w:rsidRDefault="005874E3" w:rsidP="005874E3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F1AE6">
        <w:rPr>
          <w:rFonts w:ascii="Times New Roman" w:hAnsi="Times New Roman"/>
          <w:b/>
          <w:sz w:val="32"/>
          <w:szCs w:val="32"/>
        </w:rPr>
        <w:t>РЕШЕНИЕ</w:t>
      </w:r>
    </w:p>
    <w:p w:rsidR="005874E3" w:rsidRPr="009B0350" w:rsidRDefault="005874E3" w:rsidP="005874E3">
      <w:pPr>
        <w:ind w:right="-1" w:firstLine="851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190"/>
        <w:gridCol w:w="3190"/>
        <w:gridCol w:w="3190"/>
      </w:tblGrid>
      <w:tr w:rsidR="005874E3" w:rsidRPr="0023439B" w:rsidTr="00E24FAF">
        <w:trPr>
          <w:jc w:val="center"/>
        </w:trPr>
        <w:tc>
          <w:tcPr>
            <w:tcW w:w="3190" w:type="dxa"/>
          </w:tcPr>
          <w:p w:rsidR="005874E3" w:rsidRPr="0023439B" w:rsidRDefault="0023596C" w:rsidP="007F1AE6">
            <w:pPr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25.11.2019</w:t>
            </w:r>
          </w:p>
        </w:tc>
        <w:tc>
          <w:tcPr>
            <w:tcW w:w="3190" w:type="dxa"/>
          </w:tcPr>
          <w:p w:rsidR="005874E3" w:rsidRPr="0023439B" w:rsidRDefault="009A1E7F" w:rsidP="00E24FAF">
            <w:pPr>
              <w:ind w:firstLine="69"/>
              <w:contextualSpacing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23439B">
              <w:rPr>
                <w:rFonts w:ascii="Times New Roman" w:hAnsi="Times New Roman"/>
                <w:szCs w:val="28"/>
              </w:rPr>
              <w:t>с</w:t>
            </w:r>
            <w:proofErr w:type="gramStart"/>
            <w:r w:rsidR="005874E3" w:rsidRPr="0023439B">
              <w:rPr>
                <w:rFonts w:ascii="Times New Roman" w:hAnsi="Times New Roman"/>
                <w:szCs w:val="28"/>
              </w:rPr>
              <w:t>.Ч</w:t>
            </w:r>
            <w:proofErr w:type="gramEnd"/>
            <w:r w:rsidR="005874E3" w:rsidRPr="0023439B">
              <w:rPr>
                <w:rFonts w:ascii="Times New Roman" w:hAnsi="Times New Roman"/>
                <w:szCs w:val="28"/>
              </w:rPr>
              <w:t>астоостровское</w:t>
            </w:r>
            <w:proofErr w:type="spellEnd"/>
          </w:p>
        </w:tc>
        <w:tc>
          <w:tcPr>
            <w:tcW w:w="3190" w:type="dxa"/>
          </w:tcPr>
          <w:p w:rsidR="005874E3" w:rsidRPr="00AB697D" w:rsidRDefault="007F1AE6" w:rsidP="00AB697D">
            <w:pPr>
              <w:ind w:firstLine="851"/>
              <w:contextualSpacing/>
              <w:rPr>
                <w:rFonts w:ascii="Times New Roman" w:hAnsi="Times New Roman"/>
                <w:szCs w:val="28"/>
              </w:rPr>
            </w:pPr>
            <w:r w:rsidRPr="00515490">
              <w:rPr>
                <w:rFonts w:ascii="Times New Roman" w:hAnsi="Times New Roman"/>
                <w:color w:val="FF0000"/>
                <w:szCs w:val="28"/>
              </w:rPr>
              <w:t xml:space="preserve">     </w:t>
            </w:r>
            <w:r w:rsidRPr="00AB697D">
              <w:rPr>
                <w:rFonts w:ascii="Times New Roman" w:hAnsi="Times New Roman"/>
                <w:szCs w:val="28"/>
              </w:rPr>
              <w:t xml:space="preserve">№ </w:t>
            </w:r>
            <w:r w:rsidR="00AB697D">
              <w:rPr>
                <w:rFonts w:ascii="Times New Roman" w:hAnsi="Times New Roman"/>
                <w:szCs w:val="28"/>
              </w:rPr>
              <w:t>50-149Р</w:t>
            </w:r>
          </w:p>
        </w:tc>
      </w:tr>
    </w:tbl>
    <w:p w:rsidR="005874E3" w:rsidRDefault="005874E3" w:rsidP="005874E3">
      <w:pPr>
        <w:pStyle w:val="Default"/>
        <w:rPr>
          <w:b/>
          <w:bCs/>
        </w:rPr>
      </w:pPr>
    </w:p>
    <w:p w:rsidR="007F1AE6" w:rsidRDefault="007F1AE6" w:rsidP="005874E3">
      <w:pPr>
        <w:pStyle w:val="Default"/>
        <w:rPr>
          <w:b/>
          <w:bCs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3439B" w:rsidTr="0023439B">
        <w:tc>
          <w:tcPr>
            <w:tcW w:w="4785" w:type="dxa"/>
          </w:tcPr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5874E3">
              <w:rPr>
                <w:sz w:val="28"/>
                <w:szCs w:val="28"/>
              </w:rPr>
              <w:t xml:space="preserve">Решение 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Частоостровского сельского Совета</w:t>
            </w:r>
          </w:p>
          <w:p w:rsid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 xml:space="preserve"> депутатов </w:t>
            </w:r>
            <w:r>
              <w:rPr>
                <w:sz w:val="28"/>
                <w:szCs w:val="28"/>
              </w:rPr>
              <w:t xml:space="preserve"> </w:t>
            </w:r>
            <w:r w:rsidRPr="005874E3">
              <w:rPr>
                <w:sz w:val="28"/>
                <w:szCs w:val="28"/>
              </w:rPr>
              <w:t>от 20.11.2018г № 40-118</w:t>
            </w:r>
            <w:r w:rsidR="00D809FF">
              <w:rPr>
                <w:sz w:val="28"/>
                <w:szCs w:val="28"/>
              </w:rPr>
              <w:t>Р</w:t>
            </w:r>
            <w:r w:rsidRPr="005874E3">
              <w:rPr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sz w:val="28"/>
                <w:szCs w:val="28"/>
              </w:rPr>
              <w:t>«</w:t>
            </w:r>
            <w:r w:rsidRPr="005874E3">
              <w:rPr>
                <w:bCs/>
                <w:sz w:val="28"/>
                <w:szCs w:val="28"/>
              </w:rPr>
              <w:t xml:space="preserve">О налоге на имущество </w:t>
            </w:r>
            <w:proofErr w:type="gramStart"/>
            <w:r w:rsidRPr="005874E3">
              <w:rPr>
                <w:bCs/>
                <w:sz w:val="28"/>
                <w:szCs w:val="28"/>
              </w:rPr>
              <w:t>физических</w:t>
            </w:r>
            <w:proofErr w:type="gramEnd"/>
            <w:r w:rsidRPr="005874E3">
              <w:rPr>
                <w:bCs/>
                <w:sz w:val="28"/>
                <w:szCs w:val="28"/>
              </w:rPr>
              <w:t xml:space="preserve"> </w:t>
            </w:r>
          </w:p>
          <w:p w:rsidR="0023439B" w:rsidRDefault="0023439B" w:rsidP="0023439B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 xml:space="preserve">лиц на территории Частоостровского </w:t>
            </w:r>
          </w:p>
          <w:p w:rsidR="0023439B" w:rsidRPr="0023439B" w:rsidRDefault="0023439B" w:rsidP="0023439B">
            <w:pPr>
              <w:pStyle w:val="Default"/>
              <w:jc w:val="both"/>
              <w:rPr>
                <w:sz w:val="28"/>
                <w:szCs w:val="28"/>
              </w:rPr>
            </w:pPr>
            <w:r w:rsidRPr="005874E3">
              <w:rPr>
                <w:bCs/>
                <w:sz w:val="28"/>
                <w:szCs w:val="28"/>
              </w:rPr>
              <w:t>сельсовета</w:t>
            </w:r>
            <w:r w:rsidRPr="005874E3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23439B" w:rsidRDefault="0023439B" w:rsidP="005874E3">
            <w:pPr>
              <w:pStyle w:val="Default"/>
              <w:rPr>
                <w:bCs/>
                <w:sz w:val="28"/>
                <w:szCs w:val="28"/>
              </w:rPr>
            </w:pPr>
          </w:p>
        </w:tc>
      </w:tr>
    </w:tbl>
    <w:p w:rsidR="0023439B" w:rsidRDefault="0023439B" w:rsidP="0023439B">
      <w:pPr>
        <w:pStyle w:val="Default"/>
      </w:pPr>
    </w:p>
    <w:p w:rsidR="005874E3" w:rsidRDefault="005874E3" w:rsidP="005874E3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2B6053">
        <w:rPr>
          <w:rFonts w:ascii="Times New Roman" w:hAnsi="Times New Roman"/>
        </w:rPr>
        <w:t xml:space="preserve">В соответствии с </w:t>
      </w:r>
      <w:hyperlink r:id="rId9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10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Pr="00AA18EA">
          <w:rPr>
            <w:rFonts w:ascii="Times New Roman" w:hAnsi="Times New Roman"/>
            <w:szCs w:val="28"/>
          </w:rPr>
          <w:t>№</w:t>
        </w:r>
        <w:r>
          <w:rPr>
            <w:rFonts w:ascii="Times New Roman" w:hAnsi="Times New Roman"/>
            <w:szCs w:val="28"/>
          </w:rPr>
          <w:t> 6-2108</w:t>
        </w:r>
        <w:r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>
        <w:rPr>
          <w:rFonts w:ascii="Times New Roman" w:hAnsi="Times New Roman"/>
        </w:rPr>
        <w:t xml:space="preserve">», </w:t>
      </w:r>
      <w:r w:rsidRPr="000074A7">
        <w:rPr>
          <w:rFonts w:ascii="Times New Roman" w:hAnsi="Times New Roman"/>
        </w:rPr>
        <w:t>руководствуясь Уставом Частоостровского сельсовета</w:t>
      </w:r>
      <w:r>
        <w:rPr>
          <w:rFonts w:ascii="Times New Roman" w:hAnsi="Times New Roman"/>
        </w:rPr>
        <w:t>,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Частоостровский</w:t>
      </w:r>
      <w:proofErr w:type="gramEnd"/>
      <w:r>
        <w:rPr>
          <w:rFonts w:ascii="Times New Roman" w:hAnsi="Times New Roman"/>
        </w:rPr>
        <w:t xml:space="preserve"> сельский Совет депутатов</w:t>
      </w:r>
      <w:r w:rsidRPr="002B60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РЕШИЛ</w:t>
      </w:r>
      <w:r w:rsidRPr="002B6053">
        <w:rPr>
          <w:rFonts w:ascii="Times New Roman" w:hAnsi="Times New Roman"/>
        </w:rPr>
        <w:t>:</w:t>
      </w:r>
      <w:r>
        <w:rPr>
          <w:rFonts w:ascii="Times New Roman" w:hAnsi="Times New Roman"/>
          <w:sz w:val="20"/>
          <w:szCs w:val="20"/>
        </w:rPr>
        <w:t xml:space="preserve">      </w:t>
      </w:r>
    </w:p>
    <w:p w:rsidR="005874E3" w:rsidRPr="005874E3" w:rsidRDefault="005874E3" w:rsidP="005874E3">
      <w:pPr>
        <w:pStyle w:val="Default"/>
        <w:numPr>
          <w:ilvl w:val="0"/>
          <w:numId w:val="1"/>
        </w:numPr>
        <w:ind w:left="0" w:firstLine="709"/>
        <w:rPr>
          <w:bCs/>
          <w:sz w:val="28"/>
          <w:szCs w:val="28"/>
        </w:rPr>
      </w:pPr>
      <w:r w:rsidRPr="005874E3">
        <w:rPr>
          <w:sz w:val="28"/>
          <w:szCs w:val="28"/>
        </w:rPr>
        <w:t xml:space="preserve">Внести в Решение Частоостровского сельского Совета депутатов </w:t>
      </w:r>
      <w:r>
        <w:rPr>
          <w:sz w:val="28"/>
          <w:szCs w:val="28"/>
        </w:rPr>
        <w:t xml:space="preserve"> </w:t>
      </w:r>
      <w:r w:rsidRPr="005874E3">
        <w:rPr>
          <w:sz w:val="28"/>
          <w:szCs w:val="28"/>
        </w:rPr>
        <w:t>от 20.11.2018г № 40-118</w:t>
      </w:r>
      <w:r w:rsidR="00D809FF">
        <w:rPr>
          <w:sz w:val="28"/>
          <w:szCs w:val="28"/>
        </w:rPr>
        <w:t>Р</w:t>
      </w:r>
      <w:r w:rsidRPr="005874E3">
        <w:rPr>
          <w:sz w:val="28"/>
          <w:szCs w:val="28"/>
        </w:rPr>
        <w:t xml:space="preserve"> «</w:t>
      </w:r>
      <w:r w:rsidRPr="005874E3">
        <w:rPr>
          <w:bCs/>
          <w:sz w:val="28"/>
          <w:szCs w:val="28"/>
        </w:rPr>
        <w:t>О налоге на имущество физических лиц на территории Частоостровского сельсовета</w:t>
      </w:r>
      <w:r w:rsidRPr="005874E3">
        <w:rPr>
          <w:sz w:val="28"/>
          <w:szCs w:val="28"/>
        </w:rPr>
        <w:t>»  изменения:</w:t>
      </w:r>
    </w:p>
    <w:p w:rsidR="00696DC0" w:rsidRDefault="005874E3" w:rsidP="005874E3">
      <w:pPr>
        <w:spacing w:line="20" w:lineRule="atLeast"/>
        <w:rPr>
          <w:rFonts w:ascii="Times New Roman" w:hAnsi="Times New Roman"/>
          <w:szCs w:val="28"/>
        </w:rPr>
      </w:pPr>
      <w:r w:rsidRPr="005874E3">
        <w:rPr>
          <w:rFonts w:ascii="Times New Roman" w:hAnsi="Times New Roman"/>
          <w:szCs w:val="28"/>
        </w:rPr>
        <w:t xml:space="preserve">п.2 Решение Частоостровского сельского Совета депутатов </w:t>
      </w:r>
      <w:r>
        <w:rPr>
          <w:szCs w:val="28"/>
        </w:rPr>
        <w:t xml:space="preserve"> </w:t>
      </w:r>
      <w:r w:rsidRPr="005874E3">
        <w:rPr>
          <w:rFonts w:ascii="Times New Roman" w:hAnsi="Times New Roman"/>
          <w:szCs w:val="28"/>
        </w:rPr>
        <w:t xml:space="preserve">от 20.11.2018г </w:t>
      </w:r>
    </w:p>
    <w:p w:rsidR="00696DC0" w:rsidRDefault="005874E3" w:rsidP="00696DC0">
      <w:pPr>
        <w:spacing w:line="20" w:lineRule="atLeast"/>
        <w:rPr>
          <w:rFonts w:ascii="Times New Roman" w:hAnsi="Times New Roman"/>
          <w:szCs w:val="28"/>
        </w:rPr>
      </w:pPr>
      <w:r w:rsidRPr="005874E3">
        <w:rPr>
          <w:rFonts w:ascii="Times New Roman" w:hAnsi="Times New Roman"/>
          <w:szCs w:val="28"/>
        </w:rPr>
        <w:t>№ 40-118</w:t>
      </w:r>
      <w:r w:rsidR="00D809FF">
        <w:rPr>
          <w:rFonts w:ascii="Times New Roman" w:hAnsi="Times New Roman"/>
          <w:szCs w:val="28"/>
        </w:rPr>
        <w:t>Р</w:t>
      </w:r>
      <w:r w:rsidR="00696DC0">
        <w:rPr>
          <w:rFonts w:ascii="Times New Roman" w:hAnsi="Times New Roman"/>
          <w:szCs w:val="28"/>
        </w:rPr>
        <w:t xml:space="preserve"> изложить</w:t>
      </w:r>
      <w:r w:rsidRPr="005874E3">
        <w:rPr>
          <w:rFonts w:ascii="Times New Roman" w:hAnsi="Times New Roman"/>
          <w:szCs w:val="28"/>
        </w:rPr>
        <w:t xml:space="preserve"> </w:t>
      </w:r>
      <w:r w:rsidR="00696DC0">
        <w:rPr>
          <w:rFonts w:ascii="Times New Roman" w:hAnsi="Times New Roman"/>
          <w:szCs w:val="28"/>
        </w:rPr>
        <w:t>в следующей редакции</w:t>
      </w:r>
      <w:r w:rsidRPr="005874E3">
        <w:rPr>
          <w:rFonts w:ascii="Times New Roman" w:hAnsi="Times New Roman"/>
          <w:szCs w:val="28"/>
        </w:rPr>
        <w:t>:</w:t>
      </w:r>
    </w:p>
    <w:p w:rsidR="005874E3" w:rsidRDefault="00696DC0" w:rsidP="00696DC0">
      <w:pPr>
        <w:spacing w:line="20" w:lineRule="atLeast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«</w:t>
      </w:r>
      <w:r w:rsidR="005874E3">
        <w:rPr>
          <w:rFonts w:ascii="Times New Roman" w:hAnsi="Times New Roman"/>
        </w:rPr>
        <w:t xml:space="preserve">2. </w:t>
      </w:r>
      <w:r w:rsidR="005874E3" w:rsidRPr="0092595C">
        <w:rPr>
          <w:rFonts w:ascii="Times New Roman" w:hAnsi="Times New Roman"/>
        </w:rPr>
        <w:t>Налоговые ставки устанавл</w:t>
      </w:r>
      <w:r w:rsidR="005874E3">
        <w:rPr>
          <w:rFonts w:ascii="Times New Roman" w:hAnsi="Times New Roman"/>
        </w:rPr>
        <w:t>иваются в следующих размерах от </w:t>
      </w:r>
      <w:r w:rsidR="005874E3" w:rsidRPr="0092595C">
        <w:rPr>
          <w:rFonts w:ascii="Times New Roman" w:hAnsi="Times New Roman"/>
        </w:rPr>
        <w:t>кадастровой стоимости: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6594"/>
        <w:gridCol w:w="2135"/>
      </w:tblGrid>
      <w:tr w:rsidR="005A1ECF" w:rsidRPr="005A1ECF" w:rsidTr="009A1E7F"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proofErr w:type="gramStart"/>
            <w:r w:rsidRPr="005A1ECF">
              <w:rPr>
                <w:rFonts w:ascii="Times New Roman" w:hAnsi="Times New Roman"/>
                <w:szCs w:val="28"/>
              </w:rPr>
              <w:t>п</w:t>
            </w:r>
            <w:proofErr w:type="spellEnd"/>
            <w:proofErr w:type="gramEnd"/>
            <w:r w:rsidRPr="005A1ECF">
              <w:rPr>
                <w:rFonts w:ascii="Times New Roman" w:hAnsi="Times New Roman"/>
                <w:szCs w:val="28"/>
              </w:rPr>
              <w:t>/</w:t>
            </w:r>
            <w:proofErr w:type="spellStart"/>
            <w:r w:rsidRPr="005A1ECF">
              <w:rPr>
                <w:rFonts w:ascii="Times New Roman" w:hAnsi="Times New Roman"/>
                <w:szCs w:val="28"/>
              </w:rPr>
              <w:t>п</w:t>
            </w:r>
            <w:proofErr w:type="spellEnd"/>
          </w:p>
        </w:tc>
        <w:tc>
          <w:tcPr>
            <w:tcW w:w="6594" w:type="dxa"/>
          </w:tcPr>
          <w:p w:rsidR="005A1ECF" w:rsidRPr="005A1ECF" w:rsidRDefault="005A1ECF" w:rsidP="00E24F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Объект налогообложения</w:t>
            </w:r>
          </w:p>
        </w:tc>
        <w:tc>
          <w:tcPr>
            <w:tcW w:w="2135" w:type="dxa"/>
          </w:tcPr>
          <w:p w:rsidR="005A1ECF" w:rsidRPr="005A1ECF" w:rsidRDefault="005A1ECF" w:rsidP="0023439B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Ставка налога</w:t>
            </w:r>
          </w:p>
        </w:tc>
      </w:tr>
      <w:tr w:rsidR="005A1ECF" w:rsidRPr="005A1ECF" w:rsidTr="009A1E7F">
        <w:trPr>
          <w:trHeight w:val="102"/>
        </w:trPr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594" w:type="dxa"/>
          </w:tcPr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жилые дома, части жилых домов, квартиры, части квартир, комнаты;</w:t>
            </w:r>
          </w:p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5A1ECF" w:rsidRPr="005A1ECF" w:rsidRDefault="005A1ECF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единые недвижимые комплексы, в состав которых входит хотя бы один жилой дом;</w:t>
            </w:r>
          </w:p>
          <w:p w:rsidR="005A1ECF" w:rsidRPr="005A1ECF" w:rsidRDefault="00714B22" w:rsidP="00E24FAF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proofErr w:type="gramStart"/>
            <w:r>
              <w:rPr>
                <w:rFonts w:ascii="Times New Roman" w:hAnsi="Times New Roman"/>
                <w:iCs/>
                <w:szCs w:val="28"/>
              </w:rPr>
              <w:t xml:space="preserve">гаражи и </w:t>
            </w:r>
            <w:proofErr w:type="spellStart"/>
            <w:r>
              <w:rPr>
                <w:rFonts w:ascii="Times New Roman" w:hAnsi="Times New Roman"/>
                <w:iCs/>
                <w:szCs w:val="28"/>
              </w:rPr>
              <w:t>машино-место</w:t>
            </w:r>
            <w:proofErr w:type="spellEnd"/>
            <w:r w:rsidR="005A1ECF" w:rsidRPr="005A1ECF">
              <w:rPr>
                <w:rFonts w:ascii="Times New Roman" w:hAnsi="Times New Roman"/>
                <w:iCs/>
                <w:szCs w:val="28"/>
              </w:rPr>
              <w:t xml:space="preserve">, в том числе </w:t>
            </w:r>
            <w:r w:rsidR="005A1ECF" w:rsidRPr="005A1ECF">
              <w:rPr>
                <w:rFonts w:ascii="Times New Roman" w:hAnsi="Times New Roman"/>
                <w:iCs/>
                <w:szCs w:val="28"/>
              </w:rPr>
              <w:lastRenderedPageBreak/>
              <w:t>расположенных в объектах налогообложения, указанных в пункте 2 настоящей таблицы;</w:t>
            </w:r>
            <w:proofErr w:type="gramEnd"/>
          </w:p>
          <w:p w:rsidR="005A1ECF" w:rsidRPr="005A1ECF" w:rsidRDefault="005A1ECF" w:rsidP="00714B22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iCs/>
                <w:szCs w:val="28"/>
              </w:rPr>
            </w:pPr>
            <w:r w:rsidRPr="005A1ECF">
              <w:rPr>
                <w:rFonts w:ascii="Times New Roman" w:hAnsi="Times New Roman"/>
                <w:iCs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строительства.</w:t>
            </w:r>
          </w:p>
        </w:tc>
        <w:tc>
          <w:tcPr>
            <w:tcW w:w="2135" w:type="dxa"/>
          </w:tcPr>
          <w:p w:rsidR="005A1ECF" w:rsidRPr="005A1ECF" w:rsidRDefault="005A1ECF" w:rsidP="00E24FAF">
            <w:pPr>
              <w:ind w:firstLine="175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lastRenderedPageBreak/>
              <w:t>0,3</w:t>
            </w:r>
          </w:p>
        </w:tc>
      </w:tr>
      <w:tr w:rsidR="005A1ECF" w:rsidRPr="005A1ECF" w:rsidTr="009A1E7F"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6594" w:type="dxa"/>
          </w:tcPr>
          <w:p w:rsidR="007F1AE6" w:rsidRPr="007F1AE6" w:rsidRDefault="007F1AE6" w:rsidP="007F1AE6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7F1AE6">
              <w:rPr>
                <w:rFonts w:ascii="Times New Roman" w:hAnsi="Times New Roman"/>
                <w:szCs w:val="28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Федерации;</w:t>
            </w:r>
          </w:p>
          <w:p w:rsidR="007F1AE6" w:rsidRPr="007F1AE6" w:rsidRDefault="007F1AE6" w:rsidP="007F1AE6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szCs w:val="28"/>
              </w:rPr>
            </w:pPr>
            <w:r w:rsidRPr="007F1AE6">
              <w:rPr>
                <w:rFonts w:ascii="Times New Roman" w:hAnsi="Times New Roman"/>
                <w:szCs w:val="28"/>
              </w:rPr>
              <w:t>объекты налогообложения, предусмотренные абзацем вторым пункта 10 статьи 378.2 Налогового кодекса Российской Федерации;</w:t>
            </w:r>
          </w:p>
          <w:p w:rsidR="005A1ECF" w:rsidRPr="005A1ECF" w:rsidRDefault="007F1AE6" w:rsidP="007F1AE6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Cs w:val="28"/>
              </w:rPr>
            </w:pPr>
            <w:r w:rsidRPr="007F1AE6">
              <w:rPr>
                <w:rFonts w:ascii="Times New Roman" w:hAnsi="Times New Roman"/>
                <w:szCs w:val="28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135" w:type="dxa"/>
          </w:tcPr>
          <w:p w:rsidR="005A1ECF" w:rsidRPr="005A1ECF" w:rsidRDefault="005A1ECF" w:rsidP="00E24FAF">
            <w:pPr>
              <w:ind w:firstLine="31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5A1ECF" w:rsidRPr="005A1ECF" w:rsidTr="009A1E7F">
        <w:tc>
          <w:tcPr>
            <w:tcW w:w="734" w:type="dxa"/>
          </w:tcPr>
          <w:p w:rsidR="005A1ECF" w:rsidRPr="005A1ECF" w:rsidRDefault="005A1ECF" w:rsidP="00E24FAF">
            <w:pPr>
              <w:jc w:val="center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594" w:type="dxa"/>
          </w:tcPr>
          <w:p w:rsidR="005A1ECF" w:rsidRPr="005A1ECF" w:rsidRDefault="005A1ECF" w:rsidP="00E24FAF">
            <w:pPr>
              <w:ind w:firstLine="317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прочие объекты налогообложения</w:t>
            </w:r>
          </w:p>
        </w:tc>
        <w:tc>
          <w:tcPr>
            <w:tcW w:w="2135" w:type="dxa"/>
          </w:tcPr>
          <w:p w:rsidR="005A1ECF" w:rsidRPr="005A1ECF" w:rsidRDefault="005A1ECF" w:rsidP="005A1ECF">
            <w:pPr>
              <w:ind w:firstLine="317"/>
              <w:jc w:val="left"/>
              <w:rPr>
                <w:rFonts w:ascii="Times New Roman" w:hAnsi="Times New Roman"/>
                <w:szCs w:val="28"/>
              </w:rPr>
            </w:pPr>
            <w:r w:rsidRPr="005A1ECF">
              <w:rPr>
                <w:rFonts w:ascii="Times New Roman" w:hAnsi="Times New Roman"/>
                <w:szCs w:val="28"/>
              </w:rPr>
              <w:t>0,5</w:t>
            </w:r>
          </w:p>
        </w:tc>
      </w:tr>
    </w:tbl>
    <w:p w:rsidR="005A1ECF" w:rsidRPr="00345F62" w:rsidRDefault="00714B22" w:rsidP="005A1ECF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1ECF" w:rsidRPr="00345F62">
        <w:rPr>
          <w:rFonts w:ascii="Times New Roman" w:hAnsi="Times New Roman" w:cs="Times New Roman"/>
          <w:sz w:val="28"/>
          <w:szCs w:val="28"/>
        </w:rPr>
        <w:t>.</w:t>
      </w:r>
      <w:r w:rsidR="005A1ECF">
        <w:rPr>
          <w:rFonts w:ascii="Times New Roman" w:hAnsi="Times New Roman" w:cs="Times New Roman"/>
          <w:sz w:val="28"/>
          <w:szCs w:val="28"/>
        </w:rPr>
        <w:t xml:space="preserve"> </w:t>
      </w:r>
      <w:r w:rsidR="005A1ECF" w:rsidRPr="00345F62">
        <w:rPr>
          <w:rFonts w:ascii="Times New Roman" w:hAnsi="Times New Roman" w:cs="Times New Roman"/>
          <w:sz w:val="28"/>
          <w:szCs w:val="28"/>
        </w:rPr>
        <w:t>Настоящее Решение вступает в силу после</w:t>
      </w:r>
      <w:r w:rsidR="00EC7587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«Емельяновские Веси».</w:t>
      </w:r>
    </w:p>
    <w:p w:rsidR="005874E3" w:rsidRDefault="005874E3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7F1AE6" w:rsidRDefault="007F1AE6" w:rsidP="005874E3">
      <w:pPr>
        <w:pStyle w:val="a5"/>
        <w:ind w:left="709" w:firstLine="709"/>
        <w:rPr>
          <w:rFonts w:ascii="Times New Roman" w:hAnsi="Times New Roman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678"/>
      </w:tblGrid>
      <w:tr w:rsidR="00250E6A" w:rsidTr="00300373">
        <w:tc>
          <w:tcPr>
            <w:tcW w:w="4678" w:type="dxa"/>
          </w:tcPr>
          <w:p w:rsidR="00250E6A" w:rsidRDefault="00250E6A" w:rsidP="00501656">
            <w:pPr>
              <w:pStyle w:val="a5"/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Председат</w:t>
            </w:r>
            <w:r w:rsidR="00D92A5D">
              <w:rPr>
                <w:rFonts w:ascii="Times New Roman" w:hAnsi="Times New Roman"/>
                <w:szCs w:val="28"/>
              </w:rPr>
              <w:t>ел</w:t>
            </w:r>
            <w:r w:rsidR="00714B22">
              <w:rPr>
                <w:rFonts w:ascii="Times New Roman" w:hAnsi="Times New Roman"/>
                <w:szCs w:val="28"/>
              </w:rPr>
              <w:t>ь</w:t>
            </w:r>
            <w:r w:rsidR="00D92A5D">
              <w:rPr>
                <w:rFonts w:ascii="Times New Roman" w:hAnsi="Times New Roman"/>
                <w:szCs w:val="28"/>
              </w:rPr>
              <w:t xml:space="preserve"> Частоостровского сельского С</w:t>
            </w:r>
            <w:r>
              <w:rPr>
                <w:rFonts w:ascii="Times New Roman" w:hAnsi="Times New Roman"/>
                <w:szCs w:val="28"/>
              </w:rPr>
              <w:t>овета депутатов</w:t>
            </w:r>
          </w:p>
          <w:p w:rsidR="00250E6A" w:rsidRDefault="00250E6A" w:rsidP="00714B22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_______________</w:t>
            </w:r>
            <w:r w:rsidR="00714B22">
              <w:rPr>
                <w:rFonts w:ascii="Times New Roman" w:hAnsi="Times New Roman"/>
                <w:szCs w:val="28"/>
              </w:rPr>
              <w:t xml:space="preserve"> А.Н. Дубровный</w:t>
            </w:r>
          </w:p>
        </w:tc>
        <w:tc>
          <w:tcPr>
            <w:tcW w:w="4678" w:type="dxa"/>
          </w:tcPr>
          <w:p w:rsidR="00250E6A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 w:rsidRPr="005C2A33">
              <w:rPr>
                <w:rFonts w:ascii="Times New Roman" w:hAnsi="Times New Roman"/>
                <w:szCs w:val="28"/>
              </w:rPr>
              <w:t>Глава</w:t>
            </w:r>
            <w:r>
              <w:rPr>
                <w:rFonts w:ascii="Times New Roman" w:hAnsi="Times New Roman"/>
                <w:szCs w:val="28"/>
              </w:rPr>
              <w:t xml:space="preserve"> Частоостровского сельсовета</w:t>
            </w:r>
          </w:p>
          <w:p w:rsidR="00250E6A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  <w:p w:rsidR="00250E6A" w:rsidRPr="005C2A33" w:rsidRDefault="00250E6A" w:rsidP="00E05C11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_______________Е.П. </w:t>
            </w:r>
            <w:proofErr w:type="spellStart"/>
            <w:r>
              <w:rPr>
                <w:rFonts w:ascii="Times New Roman" w:hAnsi="Times New Roman"/>
                <w:szCs w:val="28"/>
              </w:rPr>
              <w:t>Довыденко</w:t>
            </w:r>
            <w:proofErr w:type="spellEnd"/>
          </w:p>
          <w:p w:rsidR="00250E6A" w:rsidRDefault="00250E6A" w:rsidP="00AE6F0E">
            <w:pPr>
              <w:pStyle w:val="a5"/>
              <w:ind w:left="0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5874E3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</w:t>
      </w:r>
    </w:p>
    <w:p w:rsidR="00111AF2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</w:p>
    <w:p w:rsidR="00111AF2" w:rsidRPr="00CB0547" w:rsidRDefault="00111AF2" w:rsidP="009A1E7F">
      <w:pPr>
        <w:pStyle w:val="a5"/>
        <w:ind w:left="709" w:firstLine="709"/>
        <w:rPr>
          <w:rFonts w:ascii="Times New Roman" w:hAnsi="Times New Roman"/>
          <w:szCs w:val="28"/>
        </w:rPr>
      </w:pPr>
    </w:p>
    <w:sectPr w:rsidR="00111AF2" w:rsidRPr="00CB0547" w:rsidSect="0018223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466" w:rsidRDefault="00663466" w:rsidP="005A1ECF">
      <w:r>
        <w:separator/>
      </w:r>
    </w:p>
  </w:endnote>
  <w:endnote w:type="continuationSeparator" w:id="0">
    <w:p w:rsidR="00663466" w:rsidRDefault="00663466" w:rsidP="005A1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466" w:rsidRDefault="00663466" w:rsidP="005A1ECF">
      <w:r>
        <w:separator/>
      </w:r>
    </w:p>
  </w:footnote>
  <w:footnote w:type="continuationSeparator" w:id="0">
    <w:p w:rsidR="00663466" w:rsidRDefault="00663466" w:rsidP="005A1E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FA7" w:rsidRDefault="004A2812" w:rsidP="000C26EE">
    <w:pPr>
      <w:pStyle w:val="a3"/>
      <w:tabs>
        <w:tab w:val="left" w:pos="8424"/>
      </w:tabs>
      <w:jc w:val="left"/>
    </w:pPr>
    <w:r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612"/>
    <w:multiLevelType w:val="hybridMultilevel"/>
    <w:tmpl w:val="223814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4E3"/>
    <w:rsid w:val="00013162"/>
    <w:rsid w:val="000B79EF"/>
    <w:rsid w:val="00111AF2"/>
    <w:rsid w:val="0012506F"/>
    <w:rsid w:val="00142802"/>
    <w:rsid w:val="00216E06"/>
    <w:rsid w:val="0023439B"/>
    <w:rsid w:val="0023596C"/>
    <w:rsid w:val="00250E6A"/>
    <w:rsid w:val="002915E2"/>
    <w:rsid w:val="002B2586"/>
    <w:rsid w:val="00490CF4"/>
    <w:rsid w:val="004A2812"/>
    <w:rsid w:val="004C1633"/>
    <w:rsid w:val="00515490"/>
    <w:rsid w:val="00515D3C"/>
    <w:rsid w:val="00540836"/>
    <w:rsid w:val="005874E3"/>
    <w:rsid w:val="005A1ECF"/>
    <w:rsid w:val="005A29CC"/>
    <w:rsid w:val="0064144C"/>
    <w:rsid w:val="00663466"/>
    <w:rsid w:val="00696DC0"/>
    <w:rsid w:val="006C73D6"/>
    <w:rsid w:val="006E7B1C"/>
    <w:rsid w:val="006F0B5B"/>
    <w:rsid w:val="00714B22"/>
    <w:rsid w:val="0076508D"/>
    <w:rsid w:val="007672D7"/>
    <w:rsid w:val="007F1AE6"/>
    <w:rsid w:val="007F4045"/>
    <w:rsid w:val="00811EB3"/>
    <w:rsid w:val="008A705C"/>
    <w:rsid w:val="008F7F5A"/>
    <w:rsid w:val="00943F12"/>
    <w:rsid w:val="00945CB0"/>
    <w:rsid w:val="009974BF"/>
    <w:rsid w:val="009A1E7F"/>
    <w:rsid w:val="00A2070F"/>
    <w:rsid w:val="00A2524C"/>
    <w:rsid w:val="00AB697D"/>
    <w:rsid w:val="00AD7265"/>
    <w:rsid w:val="00AE6F0E"/>
    <w:rsid w:val="00C136EC"/>
    <w:rsid w:val="00D50613"/>
    <w:rsid w:val="00D60B3D"/>
    <w:rsid w:val="00D809FF"/>
    <w:rsid w:val="00D92A5D"/>
    <w:rsid w:val="00DC0795"/>
    <w:rsid w:val="00E05C11"/>
    <w:rsid w:val="00E47846"/>
    <w:rsid w:val="00E8371A"/>
    <w:rsid w:val="00EC7587"/>
    <w:rsid w:val="00EE75D1"/>
    <w:rsid w:val="00EF237E"/>
    <w:rsid w:val="00F960F2"/>
    <w:rsid w:val="00FF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E3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4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74E3"/>
    <w:rPr>
      <w:rFonts w:ascii="Calibri" w:eastAsia="Calibri" w:hAnsi="Calibri" w:cs="Times New Roman"/>
      <w:sz w:val="28"/>
    </w:rPr>
  </w:style>
  <w:style w:type="paragraph" w:styleId="a5">
    <w:name w:val="List Paragraph"/>
    <w:basedOn w:val="a"/>
    <w:uiPriority w:val="34"/>
    <w:qFormat/>
    <w:rsid w:val="005874E3"/>
    <w:pPr>
      <w:ind w:left="720"/>
      <w:contextualSpacing/>
    </w:pPr>
  </w:style>
  <w:style w:type="paragraph" w:customStyle="1" w:styleId="Default">
    <w:name w:val="Default"/>
    <w:rsid w:val="005874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5874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4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4E3"/>
    <w:rPr>
      <w:rFonts w:ascii="Tahoma" w:eastAsia="Calibri" w:hAnsi="Tahoma" w:cs="Tahoma"/>
      <w:sz w:val="16"/>
      <w:szCs w:val="16"/>
    </w:rPr>
  </w:style>
  <w:style w:type="character" w:styleId="a9">
    <w:name w:val="footnote reference"/>
    <w:uiPriority w:val="99"/>
    <w:semiHidden/>
    <w:unhideWhenUsed/>
    <w:rsid w:val="005A1ECF"/>
    <w:rPr>
      <w:vertAlign w:val="superscript"/>
    </w:rPr>
  </w:style>
  <w:style w:type="paragraph" w:customStyle="1" w:styleId="ConsPlusNormal">
    <w:name w:val="ConsPlusNormal"/>
    <w:rsid w:val="005A1E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9A1E7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A1E7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9A1E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1E7F"/>
    <w:rPr>
      <w:rFonts w:ascii="Calibri" w:eastAsia="Calibri" w:hAnsi="Calibri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384854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D0096-EEE1-4765-A902-66652013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Светлана Викторовна</cp:lastModifiedBy>
  <cp:revision>15</cp:revision>
  <cp:lastPrinted>2019-11-20T03:48:00Z</cp:lastPrinted>
  <dcterms:created xsi:type="dcterms:W3CDTF">2019-03-19T02:17:00Z</dcterms:created>
  <dcterms:modified xsi:type="dcterms:W3CDTF">2019-11-25T06:47:00Z</dcterms:modified>
</cp:coreProperties>
</file>